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58" w:rsidRDefault="00A946E8" w:rsidP="00A946E8">
      <w:r>
        <w:t>Pupil Premium action plan 2013-2014</w:t>
      </w:r>
    </w:p>
    <w:tbl>
      <w:tblPr>
        <w:tblpPr w:leftFromText="180" w:rightFromText="180" w:vertAnchor="page" w:horzAnchor="margin" w:tblpY="1366"/>
        <w:tblW w:w="15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49"/>
        <w:gridCol w:w="5137"/>
      </w:tblGrid>
      <w:tr w:rsidR="00A946E8" w:rsidRPr="00A946E8" w:rsidTr="00A946E8">
        <w:trPr>
          <w:trHeight w:val="519"/>
        </w:trPr>
        <w:tc>
          <w:tcPr>
            <w:tcW w:w="10649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A946E8" w:rsidRPr="00A946E8" w:rsidRDefault="00A946E8" w:rsidP="00A946E8">
            <w:pPr>
              <w:jc w:val="center"/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>Action plan</w:t>
            </w:r>
          </w:p>
          <w:p w:rsidR="00A946E8" w:rsidRPr="00A946E8" w:rsidRDefault="00177758" w:rsidP="0017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 1- 7 written from Audit May 2014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</w:tcPr>
          <w:p w:rsidR="00A946E8" w:rsidRPr="00A946E8" w:rsidRDefault="00A946E8" w:rsidP="00A946E8">
            <w:pPr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>By whom and when</w:t>
            </w:r>
          </w:p>
        </w:tc>
      </w:tr>
      <w:tr w:rsidR="00A946E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 xml:space="preserve">Action </w:t>
            </w:r>
            <w:proofErr w:type="gramStart"/>
            <w:r w:rsidRPr="00A946E8">
              <w:rPr>
                <w:sz w:val="24"/>
                <w:szCs w:val="24"/>
              </w:rPr>
              <w:t xml:space="preserve">point 1- </w:t>
            </w:r>
            <w:r w:rsidRPr="00A946E8">
              <w:rPr>
                <w:b/>
                <w:sz w:val="24"/>
                <w:szCs w:val="24"/>
              </w:rPr>
              <w:t>create</w:t>
            </w:r>
            <w:proofErr w:type="gramEnd"/>
            <w:r w:rsidRPr="00A946E8">
              <w:rPr>
                <w:b/>
                <w:sz w:val="24"/>
                <w:szCs w:val="24"/>
              </w:rPr>
              <w:t xml:space="preserve"> policy, provision map</w:t>
            </w:r>
            <w:r w:rsidRPr="00A946E8">
              <w:rPr>
                <w:sz w:val="24"/>
                <w:szCs w:val="24"/>
              </w:rPr>
              <w:t xml:space="preserve"> to allow for termly costing and termly measure of impact. Ensure timetabled provision mapping / evaluation </w:t>
            </w:r>
            <w:proofErr w:type="gramStart"/>
            <w:r w:rsidRPr="00A946E8">
              <w:rPr>
                <w:sz w:val="24"/>
                <w:szCs w:val="24"/>
              </w:rPr>
              <w:t>time .</w:t>
            </w:r>
            <w:proofErr w:type="gramEnd"/>
            <w:r w:rsidRPr="00A946E8">
              <w:rPr>
                <w:sz w:val="24"/>
                <w:szCs w:val="24"/>
              </w:rPr>
              <w:t xml:space="preserve"> Independent of SEN provision mapping so can be added to website as evidence of expenditure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proofErr w:type="spellStart"/>
            <w:r w:rsidRPr="00A946E8">
              <w:rPr>
                <w:i/>
                <w:sz w:val="24"/>
                <w:szCs w:val="24"/>
              </w:rPr>
              <w:t>senco</w:t>
            </w:r>
            <w:proofErr w:type="spellEnd"/>
          </w:p>
        </w:tc>
      </w:tr>
      <w:tr w:rsidR="00A946E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 xml:space="preserve">Action point 2- teacher education as to support </w:t>
            </w:r>
            <w:r w:rsidRPr="00A946E8">
              <w:rPr>
                <w:b/>
                <w:sz w:val="24"/>
                <w:szCs w:val="24"/>
              </w:rPr>
              <w:t>required, strategies to employ</w:t>
            </w:r>
            <w:r w:rsidRPr="00A946E8">
              <w:rPr>
                <w:sz w:val="24"/>
                <w:szCs w:val="24"/>
              </w:rPr>
              <w:t xml:space="preserve"> </w:t>
            </w:r>
            <w:proofErr w:type="spellStart"/>
            <w:r w:rsidRPr="00A946E8">
              <w:rPr>
                <w:sz w:val="24"/>
                <w:szCs w:val="24"/>
              </w:rPr>
              <w:t>ie</w:t>
            </w:r>
            <w:proofErr w:type="spellEnd"/>
            <w:r w:rsidRPr="00A946E8">
              <w:rPr>
                <w:sz w:val="24"/>
                <w:szCs w:val="24"/>
              </w:rPr>
              <w:t xml:space="preserve">. Not just focus on academic </w:t>
            </w:r>
            <w:proofErr w:type="gramStart"/>
            <w:r w:rsidRPr="00A946E8">
              <w:rPr>
                <w:sz w:val="24"/>
                <w:szCs w:val="24"/>
              </w:rPr>
              <w:t>needs .</w:t>
            </w:r>
            <w:proofErr w:type="gramEnd"/>
            <w:r w:rsidRPr="00A946E8">
              <w:rPr>
                <w:sz w:val="24"/>
                <w:szCs w:val="24"/>
              </w:rPr>
              <w:t xml:space="preserve"> This will be developed through pupil progress meetings ( teachers focus on PPG as one of the groups for discussion ) </w:t>
            </w:r>
            <w:r w:rsidRPr="00A946E8">
              <w:rPr>
                <w:b/>
                <w:sz w:val="24"/>
                <w:szCs w:val="24"/>
              </w:rPr>
              <w:t>and good practice shared at staff</w:t>
            </w:r>
            <w:r w:rsidRPr="00A946E8">
              <w:rPr>
                <w:sz w:val="24"/>
                <w:szCs w:val="24"/>
              </w:rPr>
              <w:t xml:space="preserve"> meeting as soon as possible after all Pupil progress meetings completed every term. 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r w:rsidRPr="00A946E8">
              <w:rPr>
                <w:i/>
                <w:sz w:val="24"/>
                <w:szCs w:val="24"/>
              </w:rPr>
              <w:t>Whole school</w:t>
            </w:r>
          </w:p>
        </w:tc>
      </w:tr>
      <w:tr w:rsidR="00A946E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>Action point 3- maximise take up of FSM for new parents and new to school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proofErr w:type="spellStart"/>
            <w:r w:rsidRPr="00A946E8">
              <w:rPr>
                <w:i/>
                <w:sz w:val="24"/>
                <w:szCs w:val="24"/>
              </w:rPr>
              <w:t>Slt</w:t>
            </w:r>
            <w:proofErr w:type="spellEnd"/>
            <w:r w:rsidRPr="00A946E8">
              <w:rPr>
                <w:i/>
                <w:sz w:val="24"/>
                <w:szCs w:val="24"/>
              </w:rPr>
              <w:t>/ bursar</w:t>
            </w:r>
          </w:p>
        </w:tc>
      </w:tr>
      <w:tr w:rsidR="00A946E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 xml:space="preserve">Action point 4- greater involvement and reporting of </w:t>
            </w:r>
            <w:proofErr w:type="spellStart"/>
            <w:r w:rsidRPr="00A946E8">
              <w:rPr>
                <w:sz w:val="24"/>
                <w:szCs w:val="24"/>
              </w:rPr>
              <w:t>govs</w:t>
            </w:r>
            <w:proofErr w:type="spellEnd"/>
            <w:r w:rsidRPr="00A946E8">
              <w:rPr>
                <w:sz w:val="24"/>
                <w:szCs w:val="24"/>
              </w:rPr>
              <w:t xml:space="preserve"> to ensure robust evaluation of effectiveness of provision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r w:rsidRPr="00A946E8">
              <w:rPr>
                <w:i/>
                <w:sz w:val="24"/>
                <w:szCs w:val="24"/>
              </w:rPr>
              <w:t>Report by AM termly</w:t>
            </w:r>
          </w:p>
        </w:tc>
      </w:tr>
      <w:tr w:rsidR="00A946E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 xml:space="preserve">Action point 5- cost of specialist behaviour support and school needs increasing in this area, look to providing a ‘learning mentor’ role / TA who can develop skills in social, emotional intelligence, learning to learn and possibly counselling. Release time for </w:t>
            </w:r>
            <w:proofErr w:type="spellStart"/>
            <w:r w:rsidRPr="00A946E8">
              <w:rPr>
                <w:sz w:val="24"/>
                <w:szCs w:val="24"/>
              </w:rPr>
              <w:t>SEnco</w:t>
            </w:r>
            <w:proofErr w:type="spellEnd"/>
            <w:r w:rsidRPr="00A946E8">
              <w:rPr>
                <w:sz w:val="24"/>
                <w:szCs w:val="24"/>
              </w:rPr>
              <w:t xml:space="preserve"> </w:t>
            </w:r>
            <w:proofErr w:type="spellStart"/>
            <w:r w:rsidRPr="00A946E8">
              <w:rPr>
                <w:sz w:val="24"/>
                <w:szCs w:val="24"/>
              </w:rPr>
              <w:t>costed</w:t>
            </w:r>
            <w:proofErr w:type="spellEnd"/>
            <w:r w:rsidRPr="00A946E8">
              <w:rPr>
                <w:sz w:val="24"/>
                <w:szCs w:val="24"/>
              </w:rPr>
              <w:t xml:space="preserve"> to provide direct teaching to pupils with specific needs including PPG pupils 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A946E8">
              <w:rPr>
                <w:i/>
                <w:sz w:val="24"/>
                <w:szCs w:val="24"/>
              </w:rPr>
              <w:t xml:space="preserve">xisting staff </w:t>
            </w:r>
            <w:r>
              <w:rPr>
                <w:i/>
                <w:sz w:val="24"/>
                <w:szCs w:val="24"/>
              </w:rPr>
              <w:t xml:space="preserve">to </w:t>
            </w:r>
            <w:r w:rsidRPr="00A946E8">
              <w:rPr>
                <w:i/>
                <w:sz w:val="24"/>
                <w:szCs w:val="24"/>
              </w:rPr>
              <w:t>meet this need or employ 2 afternoons a week skilled professional for such demand</w:t>
            </w:r>
            <w:r>
              <w:rPr>
                <w:i/>
                <w:sz w:val="24"/>
                <w:szCs w:val="24"/>
              </w:rPr>
              <w:t>?</w:t>
            </w:r>
          </w:p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r w:rsidRPr="00A946E8">
              <w:rPr>
                <w:i/>
                <w:sz w:val="24"/>
                <w:szCs w:val="24"/>
              </w:rPr>
              <w:t>HT in staffing plans</w:t>
            </w:r>
          </w:p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r w:rsidRPr="00A946E8">
              <w:rPr>
                <w:i/>
                <w:sz w:val="24"/>
                <w:szCs w:val="24"/>
              </w:rPr>
              <w:t>Possible use of jigsaw services for outreach weekly support depending on service and impact</w:t>
            </w:r>
          </w:p>
        </w:tc>
      </w:tr>
      <w:tr w:rsidR="00A946E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 xml:space="preserve">Action </w:t>
            </w:r>
            <w:proofErr w:type="gramStart"/>
            <w:r w:rsidRPr="00A946E8">
              <w:rPr>
                <w:sz w:val="24"/>
                <w:szCs w:val="24"/>
              </w:rPr>
              <w:t xml:space="preserve">point 6 – use of </w:t>
            </w:r>
            <w:proofErr w:type="spellStart"/>
            <w:r w:rsidRPr="00A946E8">
              <w:rPr>
                <w:sz w:val="24"/>
                <w:szCs w:val="24"/>
              </w:rPr>
              <w:t>sims</w:t>
            </w:r>
            <w:proofErr w:type="spellEnd"/>
            <w:r w:rsidRPr="00A946E8">
              <w:rPr>
                <w:sz w:val="24"/>
                <w:szCs w:val="24"/>
              </w:rPr>
              <w:t xml:space="preserve"> to document provision, review</w:t>
            </w:r>
            <w:proofErr w:type="gramEnd"/>
            <w:r w:rsidRPr="00A946E8">
              <w:rPr>
                <w:sz w:val="24"/>
                <w:szCs w:val="24"/>
              </w:rPr>
              <w:t xml:space="preserve"> and assess. Support provision mapping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proofErr w:type="spellStart"/>
            <w:r w:rsidRPr="00A946E8">
              <w:rPr>
                <w:i/>
                <w:sz w:val="24"/>
                <w:szCs w:val="24"/>
              </w:rPr>
              <w:t>Senco</w:t>
            </w:r>
            <w:proofErr w:type="spellEnd"/>
            <w:r w:rsidRPr="00A946E8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A946E8">
              <w:rPr>
                <w:i/>
                <w:sz w:val="24"/>
                <w:szCs w:val="24"/>
              </w:rPr>
              <w:t>senco</w:t>
            </w:r>
            <w:proofErr w:type="spellEnd"/>
            <w:r w:rsidRPr="00A946E8">
              <w:rPr>
                <w:i/>
                <w:sz w:val="24"/>
                <w:szCs w:val="24"/>
              </w:rPr>
              <w:t xml:space="preserve"> assistant</w:t>
            </w:r>
          </w:p>
        </w:tc>
      </w:tr>
      <w:tr w:rsidR="00A946E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sz w:val="24"/>
                <w:szCs w:val="24"/>
              </w:rPr>
            </w:pPr>
            <w:r w:rsidRPr="00A946E8">
              <w:rPr>
                <w:sz w:val="24"/>
                <w:szCs w:val="24"/>
              </w:rPr>
              <w:t>Action point 7: All new to school pupils are assessed in the first 6 weeks from admission and base line subject data is recorded as well as prior attendance and re‐integration readiness.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A946E8" w:rsidRPr="00A946E8" w:rsidRDefault="00A946E8" w:rsidP="00A946E8">
            <w:pPr>
              <w:rPr>
                <w:i/>
                <w:sz w:val="24"/>
                <w:szCs w:val="24"/>
              </w:rPr>
            </w:pPr>
            <w:proofErr w:type="spellStart"/>
            <w:r w:rsidRPr="00A946E8">
              <w:rPr>
                <w:i/>
                <w:sz w:val="24"/>
                <w:szCs w:val="24"/>
              </w:rPr>
              <w:t>SEnco</w:t>
            </w:r>
            <w:proofErr w:type="spellEnd"/>
            <w:r w:rsidRPr="00A946E8">
              <w:rPr>
                <w:i/>
                <w:sz w:val="24"/>
                <w:szCs w:val="24"/>
              </w:rPr>
              <w:t>/SLT/</w:t>
            </w:r>
            <w:proofErr w:type="spellStart"/>
            <w:r w:rsidRPr="00A946E8">
              <w:rPr>
                <w:i/>
                <w:sz w:val="24"/>
                <w:szCs w:val="24"/>
              </w:rPr>
              <w:t>CLassteacher</w:t>
            </w:r>
            <w:proofErr w:type="spellEnd"/>
          </w:p>
        </w:tc>
      </w:tr>
      <w:tr w:rsidR="0017775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177758" w:rsidRPr="00A946E8" w:rsidRDefault="00177758" w:rsidP="00A9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 8:</w:t>
            </w:r>
            <w:r w:rsidR="00595674">
              <w:rPr>
                <w:sz w:val="24"/>
                <w:szCs w:val="24"/>
              </w:rPr>
              <w:t xml:space="preserve"> Links with whole school action plan – safety of pupils and developing emotional empathy, </w:t>
            </w:r>
            <w:r w:rsidR="00595674">
              <w:rPr>
                <w:sz w:val="24"/>
                <w:szCs w:val="24"/>
              </w:rPr>
              <w:lastRenderedPageBreak/>
              <w:t>resilience and intelligence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177758" w:rsidRPr="00A946E8" w:rsidRDefault="00595674" w:rsidP="00A946E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SENco</w:t>
            </w:r>
            <w:proofErr w:type="spellEnd"/>
            <w:r>
              <w:rPr>
                <w:i/>
                <w:sz w:val="24"/>
                <w:szCs w:val="24"/>
              </w:rPr>
              <w:t>/ SLT/ KR</w:t>
            </w:r>
          </w:p>
        </w:tc>
      </w:tr>
      <w:tr w:rsidR="0017775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177758" w:rsidRPr="00A946E8" w:rsidRDefault="00177758" w:rsidP="0059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Action Point 9:</w:t>
            </w:r>
            <w:r w:rsidR="00595674">
              <w:rPr>
                <w:sz w:val="24"/>
                <w:szCs w:val="24"/>
              </w:rPr>
              <w:t xml:space="preserve"> To continue to improve monitoring and evaluation and reporting of impact of PPG and provision</w:t>
            </w:r>
          </w:p>
        </w:tc>
        <w:tc>
          <w:tcPr>
            <w:tcW w:w="5137" w:type="dxa"/>
            <w:shd w:val="clear" w:color="auto" w:fill="C6D9F1" w:themeFill="text2" w:themeFillTint="33"/>
          </w:tcPr>
          <w:p w:rsidR="00177758" w:rsidRPr="00A946E8" w:rsidRDefault="00595674" w:rsidP="00A946E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SEnco</w:t>
            </w:r>
            <w:proofErr w:type="spellEnd"/>
          </w:p>
        </w:tc>
      </w:tr>
      <w:tr w:rsidR="00177758" w:rsidRPr="00A946E8" w:rsidTr="00A946E8">
        <w:trPr>
          <w:trHeight w:val="519"/>
        </w:trPr>
        <w:tc>
          <w:tcPr>
            <w:tcW w:w="10649" w:type="dxa"/>
            <w:shd w:val="clear" w:color="auto" w:fill="C6D9F1" w:themeFill="text2" w:themeFillTint="33"/>
          </w:tcPr>
          <w:p w:rsidR="00177758" w:rsidRPr="00A946E8" w:rsidRDefault="00177758" w:rsidP="00A9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point 10:</w:t>
            </w:r>
            <w:r w:rsidR="0059567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37" w:type="dxa"/>
            <w:shd w:val="clear" w:color="auto" w:fill="C6D9F1" w:themeFill="text2" w:themeFillTint="33"/>
          </w:tcPr>
          <w:p w:rsidR="00177758" w:rsidRPr="00A946E8" w:rsidRDefault="00177758" w:rsidP="00A946E8">
            <w:pPr>
              <w:rPr>
                <w:i/>
                <w:sz w:val="24"/>
                <w:szCs w:val="24"/>
              </w:rPr>
            </w:pPr>
          </w:p>
        </w:tc>
      </w:tr>
    </w:tbl>
    <w:p w:rsidR="00A946E8" w:rsidRDefault="00A946E8" w:rsidP="00A946E8"/>
    <w:sectPr w:rsidR="00A946E8" w:rsidSect="00A946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E8"/>
    <w:rsid w:val="000460B0"/>
    <w:rsid w:val="00060457"/>
    <w:rsid w:val="00081313"/>
    <w:rsid w:val="00154F11"/>
    <w:rsid w:val="00177758"/>
    <w:rsid w:val="00342052"/>
    <w:rsid w:val="003D2D7E"/>
    <w:rsid w:val="00595674"/>
    <w:rsid w:val="0071596B"/>
    <w:rsid w:val="007D6276"/>
    <w:rsid w:val="008E3147"/>
    <w:rsid w:val="00A50648"/>
    <w:rsid w:val="00A946E8"/>
    <w:rsid w:val="00AC3002"/>
    <w:rsid w:val="00B153A7"/>
    <w:rsid w:val="00B65615"/>
    <w:rsid w:val="00BC571B"/>
    <w:rsid w:val="00D11504"/>
    <w:rsid w:val="00D93C5C"/>
    <w:rsid w:val="00DE3E39"/>
    <w:rsid w:val="00E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Moxham</dc:creator>
  <cp:lastModifiedBy>A Moxham</cp:lastModifiedBy>
  <cp:revision>2</cp:revision>
  <dcterms:created xsi:type="dcterms:W3CDTF">2014-07-14T23:07:00Z</dcterms:created>
  <dcterms:modified xsi:type="dcterms:W3CDTF">2014-09-03T23:19:00Z</dcterms:modified>
</cp:coreProperties>
</file>